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Bilancio e programmazione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Programmazione e pianificazione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Rendicontazione diritti di segreteria e stato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formulazione della rendicontazione dei diritti di segreteria e stato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118/2011 - Disposizioni in materia di armonizzazione dei sistemi contabili e degli schemi di bilancio delle Regioni, degli enti locali e loro organismi - Regolamento sul funzionamento del Consiglio - Regolamento di contabilita' - Regolamento sui controlli interni - D.L. 90/2014 - L. 114/2014 - Delibera n. 21 del 2015 della Sezione Autonomie della Corte dei Conti - Regolamento del servizio di economato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Bilancio e programmazione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Programmazione e pianificazione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EMailragioneria@comune.parona.pv.it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GiornoOrario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Programmazione e pianificazione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